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7BC4" w:rsidRPr="00BB7BC4" w:rsidRDefault="00BB7BC4" w:rsidP="00BB7BC4">
      <w:pPr>
        <w:widowControl/>
        <w:spacing w:line="750" w:lineRule="atLeast"/>
        <w:jc w:val="center"/>
        <w:textAlignment w:val="center"/>
        <w:rPr>
          <w:rFonts w:ascii="微软雅黑" w:eastAsia="微软雅黑" w:hAnsi="微软雅黑" w:cs="宋体"/>
          <w:b/>
          <w:bCs/>
          <w:color w:val="2A2A2A"/>
          <w:kern w:val="0"/>
          <w:sz w:val="30"/>
          <w:szCs w:val="30"/>
        </w:rPr>
      </w:pPr>
      <w:bookmarkStart w:id="0" w:name="_GoBack"/>
      <w:r w:rsidRPr="00BB7BC4">
        <w:rPr>
          <w:rFonts w:ascii="微软雅黑" w:eastAsia="微软雅黑" w:hAnsi="微软雅黑" w:cs="宋体" w:hint="eastAsia"/>
          <w:b/>
          <w:bCs/>
          <w:color w:val="2A2A2A"/>
          <w:kern w:val="0"/>
          <w:sz w:val="30"/>
          <w:szCs w:val="30"/>
        </w:rPr>
        <w:t>上海市财政局</w:t>
      </w:r>
      <w:proofErr w:type="gramStart"/>
      <w:r w:rsidRPr="00BB7BC4">
        <w:rPr>
          <w:rFonts w:ascii="微软雅黑" w:eastAsia="微软雅黑" w:hAnsi="微软雅黑" w:cs="宋体" w:hint="eastAsia"/>
          <w:b/>
          <w:bCs/>
          <w:color w:val="2A2A2A"/>
          <w:kern w:val="0"/>
          <w:sz w:val="30"/>
          <w:szCs w:val="30"/>
        </w:rPr>
        <w:t>《关于市级财政科研项目使用公务卡结算有关事项的通知》沪财库</w:t>
      </w:r>
      <w:proofErr w:type="gramEnd"/>
      <w:r w:rsidRPr="00BB7BC4">
        <w:rPr>
          <w:rFonts w:ascii="微软雅黑" w:eastAsia="微软雅黑" w:hAnsi="微软雅黑" w:cs="宋体" w:hint="eastAsia"/>
          <w:b/>
          <w:bCs/>
          <w:color w:val="2A2A2A"/>
          <w:kern w:val="0"/>
          <w:sz w:val="30"/>
          <w:szCs w:val="30"/>
        </w:rPr>
        <w:t>〔2016〕16号</w:t>
      </w:r>
    </w:p>
    <w:bookmarkEnd w:id="0"/>
    <w:p w:rsidR="00BB7BC4" w:rsidRPr="00BB7BC4" w:rsidRDefault="00BB7BC4" w:rsidP="00BB7BC4">
      <w:pPr>
        <w:widowControl/>
        <w:spacing w:line="300" w:lineRule="atLeast"/>
        <w:jc w:val="center"/>
        <w:textAlignment w:val="center"/>
        <w:rPr>
          <w:rFonts w:ascii="微软雅黑" w:eastAsia="微软雅黑" w:hAnsi="微软雅黑" w:cs="宋体" w:hint="eastAsia"/>
          <w:color w:val="2A2A2A"/>
          <w:kern w:val="0"/>
          <w:sz w:val="18"/>
          <w:szCs w:val="18"/>
        </w:rPr>
      </w:pPr>
      <w:r w:rsidRPr="00BB7BC4">
        <w:rPr>
          <w:rFonts w:ascii="微软雅黑" w:eastAsia="微软雅黑" w:hAnsi="微软雅黑" w:cs="宋体" w:hint="eastAsia"/>
          <w:color w:val="2A2A2A"/>
          <w:kern w:val="0"/>
          <w:sz w:val="18"/>
          <w:szCs w:val="18"/>
        </w:rPr>
        <w:t xml:space="preserve">2017/9/30 </w:t>
      </w:r>
    </w:p>
    <w:tbl>
      <w:tblPr>
        <w:tblW w:w="5000" w:type="pct"/>
        <w:tblCellSpacing w:w="0" w:type="dxa"/>
        <w:tblCellMar>
          <w:left w:w="0" w:type="dxa"/>
          <w:right w:w="0" w:type="dxa"/>
        </w:tblCellMar>
        <w:tblLook w:val="04A0" w:firstRow="1" w:lastRow="0" w:firstColumn="1" w:lastColumn="0" w:noHBand="0" w:noVBand="1"/>
      </w:tblPr>
      <w:tblGrid>
        <w:gridCol w:w="9746"/>
      </w:tblGrid>
      <w:tr w:rsidR="00BB7BC4" w:rsidRPr="00BB7BC4" w:rsidTr="00BB7BC4">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746"/>
            </w:tblGrid>
            <w:tr w:rsidR="00BB7BC4" w:rsidRPr="00BB7BC4">
              <w:trPr>
                <w:trHeight w:val="7800"/>
                <w:tblCellSpacing w:w="0" w:type="dxa"/>
              </w:trPr>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746"/>
                  </w:tblGrid>
                  <w:tr w:rsidR="00BB7BC4" w:rsidRPr="00BB7BC4">
                    <w:trPr>
                      <w:tblCellSpacing w:w="15" w:type="dxa"/>
                    </w:trPr>
                    <w:tc>
                      <w:tcPr>
                        <w:tcW w:w="0" w:type="auto"/>
                        <w:vAlign w:val="center"/>
                        <w:hideMark/>
                      </w:tcPr>
                      <w:p w:rsidR="00BB7BC4" w:rsidRPr="00BB7BC4" w:rsidRDefault="00BB7BC4" w:rsidP="00BB7BC4">
                        <w:pPr>
                          <w:widowControl/>
                          <w:spacing w:before="100" w:beforeAutospacing="1" w:after="100" w:afterAutospacing="1"/>
                          <w:jc w:val="left"/>
                          <w:rPr>
                            <w:rFonts w:ascii="宋体" w:hAnsi="宋体" w:cs="宋体" w:hint="eastAsia"/>
                            <w:kern w:val="0"/>
                            <w:sz w:val="24"/>
                            <w:szCs w:val="24"/>
                          </w:rPr>
                        </w:pPr>
                        <w:r w:rsidRPr="00BB7BC4">
                          <w:rPr>
                            <w:rFonts w:ascii="宋体" w:hAnsi="宋体" w:cs="宋体" w:hint="eastAsia"/>
                            <w:kern w:val="0"/>
                            <w:szCs w:val="28"/>
                          </w:rPr>
                          <w:t>各市级预算主管部门，各区县财政局、科委：</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为进一步加强本市财政科研项目资金管理，规范科研活动支付业务，减少现金结算，提高支付透明度，强化资金安全，按照《财政部科技部关于中央财政科研项目使用公务卡结算有关事项的通知》（财库〔2015〕245号）等相关规定，结合本市实际，现就科研院所、高等学校等事业单位承担市级财政科研项目使用公务卡结算有关事项通知如下：</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一、充分认识科研项目推行公务卡结算的重要意义。当前，科研项目经费管理中存在的一个突出问题是缺乏对经费使用的过程监管。推行科研项目经费使用公务卡结算，不仅可以有效提高科研支出的透明度，加强科研项目经费管理，提高资金使用效益，而且可以方便项目承担单位用款，减少现金提取和使用，进一步提高财务管理水平。各部门、各区县应当充分认识科研项目经费推行公务卡结算的重要性和必要性，加强组织领导，精心部署，确保相关工作落实到位。</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二、科研院所、高等学校等事业单位承担市级财政科技计划（专项、基金等）以及纳入市级部门预算管理的科研项目，所发生的属于《上海市市级预算单位公务卡强制结算目录》（</w:t>
                        </w:r>
                        <w:proofErr w:type="gramStart"/>
                        <w:r w:rsidRPr="00BB7BC4">
                          <w:rPr>
                            <w:rFonts w:ascii="宋体" w:hAnsi="宋体" w:cs="宋体" w:hint="eastAsia"/>
                            <w:kern w:val="0"/>
                            <w:szCs w:val="28"/>
                          </w:rPr>
                          <w:t>沪财库</w:t>
                        </w:r>
                        <w:proofErr w:type="gramEnd"/>
                        <w:r w:rsidRPr="00BB7BC4">
                          <w:rPr>
                            <w:rFonts w:ascii="宋体" w:hAnsi="宋体" w:cs="宋体" w:hint="eastAsia"/>
                            <w:kern w:val="0"/>
                            <w:szCs w:val="28"/>
                          </w:rPr>
                          <w:t>〔2012〕39）范围的支出以及小额材料费和测试化验加工费等，要按规定实行公务卡结算。对上述支出中，</w:t>
                        </w:r>
                        <w:proofErr w:type="gramStart"/>
                        <w:r w:rsidRPr="00BB7BC4">
                          <w:rPr>
                            <w:rFonts w:ascii="宋体" w:hAnsi="宋体" w:cs="宋体" w:hint="eastAsia"/>
                            <w:kern w:val="0"/>
                            <w:szCs w:val="28"/>
                          </w:rPr>
                          <w:t>因确实</w:t>
                        </w:r>
                        <w:proofErr w:type="gramEnd"/>
                        <w:r w:rsidRPr="00BB7BC4">
                          <w:rPr>
                            <w:rFonts w:ascii="宋体" w:hAnsi="宋体" w:cs="宋体" w:hint="eastAsia"/>
                            <w:kern w:val="0"/>
                            <w:szCs w:val="28"/>
                          </w:rPr>
                          <w:t>不具备刷卡条件而无法采用公务卡结算，但科研工作实际需要发生的支出，如市内交通费、</w:t>
                        </w:r>
                        <w:proofErr w:type="gramStart"/>
                        <w:r w:rsidRPr="00BB7BC4">
                          <w:rPr>
                            <w:rFonts w:ascii="宋体" w:hAnsi="宋体" w:cs="宋体" w:hint="eastAsia"/>
                            <w:kern w:val="0"/>
                            <w:szCs w:val="28"/>
                          </w:rPr>
                          <w:t>野外科</w:t>
                        </w:r>
                        <w:proofErr w:type="gramEnd"/>
                        <w:r w:rsidRPr="00BB7BC4">
                          <w:rPr>
                            <w:rFonts w:ascii="宋体" w:hAnsi="宋体" w:cs="宋体" w:hint="eastAsia"/>
                            <w:kern w:val="0"/>
                            <w:szCs w:val="28"/>
                          </w:rPr>
                          <w:t>考工作中发生的支出等，报经单位科研管理部门及财务部门批准可以暂不使用公务卡结算。项目承担单位应当制定相关实施细则，明确不具备刷卡条件情形下的财务审批程序和报销手续，从严控制现金支出事项，减少现金提取和使用。</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三、各有关单位应当按照公务卡管理有关制度规定，为单位工作人员统一办理公务卡，规范公务卡支付行为，严格落实科研项目经费使用公务卡结算要求。</w:t>
                        </w:r>
                        <w:proofErr w:type="gramStart"/>
                        <w:r w:rsidRPr="00BB7BC4">
                          <w:rPr>
                            <w:rFonts w:ascii="宋体" w:hAnsi="宋体" w:cs="宋体" w:hint="eastAsia"/>
                            <w:kern w:val="0"/>
                            <w:szCs w:val="28"/>
                          </w:rPr>
                          <w:t>非预算</w:t>
                        </w:r>
                        <w:proofErr w:type="gramEnd"/>
                        <w:r w:rsidRPr="00BB7BC4">
                          <w:rPr>
                            <w:rFonts w:ascii="宋体" w:hAnsi="宋体" w:cs="宋体" w:hint="eastAsia"/>
                            <w:kern w:val="0"/>
                            <w:szCs w:val="28"/>
                          </w:rPr>
                          <w:t>单位工作人员原则上不得办理公务卡。对于确因工作需要且参与科研项目1年以上，并负责科研经费支出报销业务的项目聘用人员，由聘用人员</w:t>
                        </w:r>
                        <w:r w:rsidRPr="00BB7BC4">
                          <w:rPr>
                            <w:rFonts w:ascii="宋体" w:hAnsi="宋体" w:cs="宋体" w:hint="eastAsia"/>
                            <w:kern w:val="0"/>
                            <w:szCs w:val="28"/>
                          </w:rPr>
                          <w:lastRenderedPageBreak/>
                          <w:t>与项目负责人共同申请，经项目管理部门和财务部门批准后，可以办理公务卡；项目结束后，需及时注销公务卡。</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四、各市级预算单位应当在本市财政业务信息处理平台公务卡管理模块（中央或区县预算单位，按相关规定执行），按照《上海市深化推行公务卡制度改革方案》（</w:t>
                        </w:r>
                        <w:proofErr w:type="gramStart"/>
                        <w:r w:rsidRPr="00BB7BC4">
                          <w:rPr>
                            <w:rFonts w:ascii="宋体" w:hAnsi="宋体" w:cs="宋体" w:hint="eastAsia"/>
                            <w:kern w:val="0"/>
                            <w:szCs w:val="28"/>
                          </w:rPr>
                          <w:t>沪财库</w:t>
                        </w:r>
                        <w:proofErr w:type="gramEnd"/>
                        <w:r w:rsidRPr="00BB7BC4">
                          <w:rPr>
                            <w:rFonts w:ascii="宋体" w:hAnsi="宋体" w:cs="宋体" w:hint="eastAsia"/>
                            <w:kern w:val="0"/>
                            <w:szCs w:val="28"/>
                          </w:rPr>
                          <w:t>〔2007〕31号）和《上海市市级预算单位公务卡管理暂行办法》（</w:t>
                        </w:r>
                        <w:proofErr w:type="gramStart"/>
                        <w:r w:rsidRPr="00BB7BC4">
                          <w:rPr>
                            <w:rFonts w:ascii="宋体" w:hAnsi="宋体" w:cs="宋体" w:hint="eastAsia"/>
                            <w:kern w:val="0"/>
                            <w:szCs w:val="28"/>
                          </w:rPr>
                          <w:t>沪财库</w:t>
                        </w:r>
                        <w:proofErr w:type="gramEnd"/>
                        <w:r w:rsidRPr="00BB7BC4">
                          <w:rPr>
                            <w:rFonts w:ascii="宋体" w:hAnsi="宋体" w:cs="宋体" w:hint="eastAsia"/>
                            <w:kern w:val="0"/>
                            <w:szCs w:val="28"/>
                          </w:rPr>
                          <w:t>〔2008〕45号）的有关规定，审核公务卡报销事项。对于批准报销的公务卡消费支出，应在规定的还款期限内，区分报销资金的不同来源，通过零余额账户或专用存款账户以转账方式办理公务卡还款手续。</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五、公务卡为个人信用卡，除公务消费支出由单位报销还款外，公务卡的其他消费支出均由个人负责还款，单位不承担因个人原因导致的一切责任。工作人员离职，单位财务人员应于公务卡管理系统中注销其公务卡的报销功能。</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六、科研项目财务验收检查时，科研项目使用公务卡结算情况作为验收内容之一。公务卡使用情况纳入科研信用管理范围，凡未按规定使用公务卡的，将与项目承担单位或依托单位以及项目负责人和参加者的科研信用记录挂钩。</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七、承担市级财政科研项目的其他单位，应加强科研项目经费使用管理和报销审核制度，对于本通知规定应使用公务卡结算的科研项目经费支出，原则上应采取转账方式结算，减少现金提取和使用。</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八、科研院所、高等学校等事业单位承担中央财政科研项目所发生的科研经费应参照本通知的有关规定使用公务卡结算。</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九、各区县可参照本通知，制定本地区财政科研项目使用公务卡结算管理办法。十、本通知由市财政局会同市科委负责解释。</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十一、本通知自发文之日起执行。</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  </w:t>
                        </w:r>
                      </w:p>
                      <w:p w:rsidR="00BB7BC4" w:rsidRPr="00BB7BC4" w:rsidRDefault="00BB7BC4" w:rsidP="00BB7BC4">
                        <w:pPr>
                          <w:widowControl/>
                          <w:spacing w:before="100" w:beforeAutospacing="1" w:after="100" w:afterAutospacing="1"/>
                          <w:ind w:firstLine="560"/>
                          <w:jc w:val="right"/>
                          <w:rPr>
                            <w:rFonts w:ascii="宋体" w:hAnsi="宋体" w:cs="宋体"/>
                            <w:kern w:val="0"/>
                            <w:sz w:val="24"/>
                            <w:szCs w:val="24"/>
                          </w:rPr>
                        </w:pPr>
                        <w:r w:rsidRPr="00BB7BC4">
                          <w:rPr>
                            <w:rFonts w:ascii="宋体" w:hAnsi="宋体" w:cs="宋体" w:hint="eastAsia"/>
                            <w:kern w:val="0"/>
                            <w:szCs w:val="28"/>
                          </w:rPr>
                          <w:t> 上海市财政局</w:t>
                        </w:r>
                      </w:p>
                      <w:p w:rsidR="00BB7BC4" w:rsidRPr="00BB7BC4" w:rsidRDefault="00BB7BC4" w:rsidP="00BB7BC4">
                        <w:pPr>
                          <w:widowControl/>
                          <w:spacing w:before="100" w:beforeAutospacing="1" w:after="100" w:afterAutospacing="1"/>
                          <w:ind w:firstLine="560"/>
                          <w:jc w:val="right"/>
                          <w:rPr>
                            <w:rFonts w:ascii="宋体" w:hAnsi="宋体" w:cs="宋体"/>
                            <w:kern w:val="0"/>
                            <w:sz w:val="24"/>
                            <w:szCs w:val="24"/>
                          </w:rPr>
                        </w:pPr>
                        <w:r w:rsidRPr="00BB7BC4">
                          <w:rPr>
                            <w:rFonts w:ascii="宋体" w:hAnsi="宋体" w:cs="宋体" w:hint="eastAsia"/>
                            <w:kern w:val="0"/>
                            <w:szCs w:val="28"/>
                          </w:rPr>
                          <w:t>上海市科学技术委员会</w:t>
                        </w:r>
                      </w:p>
                      <w:p w:rsidR="00BB7BC4" w:rsidRPr="00BB7BC4" w:rsidRDefault="00BB7BC4" w:rsidP="00BB7BC4">
                        <w:pPr>
                          <w:widowControl/>
                          <w:spacing w:before="100" w:beforeAutospacing="1" w:after="100" w:afterAutospacing="1"/>
                          <w:ind w:firstLine="560"/>
                          <w:jc w:val="right"/>
                          <w:rPr>
                            <w:rFonts w:ascii="宋体" w:hAnsi="宋体" w:cs="宋体"/>
                            <w:kern w:val="0"/>
                            <w:sz w:val="24"/>
                            <w:szCs w:val="24"/>
                          </w:rPr>
                        </w:pPr>
                        <w:r w:rsidRPr="00BB7BC4">
                          <w:rPr>
                            <w:rFonts w:ascii="宋体" w:hAnsi="宋体" w:cs="宋体" w:hint="eastAsia"/>
                            <w:kern w:val="0"/>
                            <w:szCs w:val="28"/>
                          </w:rPr>
                          <w:t>2016年5月9日</w:t>
                        </w:r>
                      </w:p>
                      <w:p w:rsidR="00BB7BC4" w:rsidRPr="00BB7BC4" w:rsidRDefault="00BB7BC4" w:rsidP="00BB7BC4">
                        <w:pPr>
                          <w:widowControl/>
                          <w:spacing w:before="100" w:beforeAutospacing="1" w:after="100" w:afterAutospacing="1"/>
                          <w:ind w:firstLine="560"/>
                          <w:jc w:val="left"/>
                          <w:rPr>
                            <w:rFonts w:ascii="宋体" w:hAnsi="宋体" w:cs="宋体"/>
                            <w:kern w:val="0"/>
                            <w:sz w:val="24"/>
                            <w:szCs w:val="24"/>
                          </w:rPr>
                        </w:pPr>
                        <w:r w:rsidRPr="00BB7BC4">
                          <w:rPr>
                            <w:rFonts w:ascii="宋体" w:hAnsi="宋体" w:cs="宋体" w:hint="eastAsia"/>
                            <w:kern w:val="0"/>
                            <w:szCs w:val="28"/>
                          </w:rPr>
                          <w:t> </w:t>
                        </w:r>
                      </w:p>
                    </w:tc>
                  </w:tr>
                </w:tbl>
                <w:p w:rsidR="00BB7BC4" w:rsidRPr="00BB7BC4" w:rsidRDefault="00BB7BC4" w:rsidP="00BB7BC4">
                  <w:pPr>
                    <w:widowControl/>
                    <w:jc w:val="left"/>
                    <w:rPr>
                      <w:rFonts w:ascii="宋体" w:hAnsi="宋体" w:cs="宋体"/>
                      <w:kern w:val="0"/>
                      <w:sz w:val="24"/>
                      <w:szCs w:val="24"/>
                    </w:rPr>
                  </w:pPr>
                </w:p>
              </w:tc>
            </w:tr>
          </w:tbl>
          <w:p w:rsidR="00BB7BC4" w:rsidRPr="00BB7BC4" w:rsidRDefault="00BB7BC4" w:rsidP="00BB7BC4">
            <w:pPr>
              <w:widowControl/>
              <w:jc w:val="left"/>
              <w:rPr>
                <w:rFonts w:ascii="宋体" w:hAnsi="宋体" w:cs="宋体"/>
                <w:kern w:val="0"/>
                <w:sz w:val="24"/>
                <w:szCs w:val="24"/>
              </w:rPr>
            </w:pPr>
          </w:p>
        </w:tc>
      </w:tr>
    </w:tbl>
    <w:p w:rsidR="00F9406C" w:rsidRDefault="00F9406C"/>
    <w:sectPr w:rsidR="00F9406C" w:rsidSect="00BB7BC4">
      <w:pgSz w:w="11906" w:h="16838"/>
      <w:pgMar w:top="1440" w:right="1080" w:bottom="1440" w:left="1080" w:header="851" w:footer="992" w:gutter="0"/>
      <w:cols w:space="425"/>
      <w:docGrid w:type="lines"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40"/>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BC4"/>
    <w:rsid w:val="00BB7BC4"/>
    <w:rsid w:val="00F94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7251D-00A9-48F7-9DD4-1B1740916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kern w:val="2"/>
        <w:sz w:val="28"/>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779579">
      <w:bodyDiv w:val="1"/>
      <w:marLeft w:val="0"/>
      <w:marRight w:val="0"/>
      <w:marTop w:val="0"/>
      <w:marBottom w:val="0"/>
      <w:divBdr>
        <w:top w:val="none" w:sz="0" w:space="0" w:color="auto"/>
        <w:left w:val="none" w:sz="0" w:space="0" w:color="auto"/>
        <w:bottom w:val="none" w:sz="0" w:space="0" w:color="auto"/>
        <w:right w:val="none" w:sz="0" w:space="0" w:color="auto"/>
      </w:divBdr>
      <w:divsChild>
        <w:div w:id="643240502">
          <w:marLeft w:val="0"/>
          <w:marRight w:val="0"/>
          <w:marTop w:val="0"/>
          <w:marBottom w:val="0"/>
          <w:divBdr>
            <w:top w:val="none" w:sz="0" w:space="0" w:color="auto"/>
            <w:left w:val="none" w:sz="0" w:space="0" w:color="auto"/>
            <w:bottom w:val="single" w:sz="6" w:space="0" w:color="2A6294"/>
            <w:right w:val="none" w:sz="0" w:space="0" w:color="auto"/>
          </w:divBdr>
        </w:div>
        <w:div w:id="1401292012">
          <w:marLeft w:val="0"/>
          <w:marRight w:val="0"/>
          <w:marTop w:val="0"/>
          <w:marBottom w:val="300"/>
          <w:divBdr>
            <w:top w:val="none" w:sz="0" w:space="0" w:color="auto"/>
            <w:left w:val="none" w:sz="0" w:space="0" w:color="auto"/>
            <w:bottom w:val="none" w:sz="0" w:space="0" w:color="auto"/>
            <w:right w:val="none" w:sz="0" w:space="0" w:color="auto"/>
          </w:divBdr>
          <w:divsChild>
            <w:div w:id="489906362">
              <w:marLeft w:val="0"/>
              <w:marRight w:val="0"/>
              <w:marTop w:val="0"/>
              <w:marBottom w:val="0"/>
              <w:divBdr>
                <w:top w:val="none" w:sz="0" w:space="0" w:color="auto"/>
                <w:left w:val="none" w:sz="0" w:space="0" w:color="auto"/>
                <w:bottom w:val="none" w:sz="0" w:space="0" w:color="auto"/>
                <w:right w:val="none" w:sz="0" w:space="0" w:color="auto"/>
              </w:divBdr>
              <w:divsChild>
                <w:div w:id="192768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233</Words>
  <Characters>1334</Characters>
  <Application>Microsoft Office Word</Application>
  <DocSecurity>0</DocSecurity>
  <Lines>11</Lines>
  <Paragraphs>3</Paragraphs>
  <ScaleCrop>false</ScaleCrop>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sitsh</dc:creator>
  <cp:keywords/>
  <dc:description/>
  <cp:lastModifiedBy>sitsh</cp:lastModifiedBy>
  <cp:revision>1</cp:revision>
  <dcterms:created xsi:type="dcterms:W3CDTF">2019-11-13T07:26:00Z</dcterms:created>
  <dcterms:modified xsi:type="dcterms:W3CDTF">2019-11-13T07:27:00Z</dcterms:modified>
</cp:coreProperties>
</file>